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26"/>
        <w:gridCol w:w="1474"/>
        <w:gridCol w:w="570"/>
        <w:gridCol w:w="3884"/>
        <w:gridCol w:w="2058"/>
        <w:gridCol w:w="2818"/>
        <w:gridCol w:w="63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 Denklem ve Eşitsizlikler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Üslü ve Köklü İfadeler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  <w:r>
              <w:t>TD.12.1.1.1. Üslü ve köklü ifadeler içeren denklemler çözer</w:t>
            </w: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  <w:r>
              <w:t>Üslü ve Köklü İfadeler</w:t>
            </w:r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a) Yüzde hesaplamalarında aşağıda verilen bağlamlardan yararlanılabilir: • Zamanında ödemeleri yapılmadığında gecikme bedeli ödenmesi gereken durumlar, • Bir malın alış fiyatı üzerine KDV, ÖTV ve kâr eklenmesi; belli bir satış fiyatı üzerinden indirim yapılması gibi gerçek hayat durumları, • Vade farkı, enflasyon gibi bireyin günlük yaşantısında sıklıkla karşılaştığı kavramlar, • Yatırımların getirilerine yönelik veriler toplatılması ve yatırımlar içerisinde en iyi olanın belirlenmesi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b) Oran ve orantı kavramlarını içeren problemler oluşturulurken aşağıda verilen bağlamlardan yararlanılabilir: • Farklı ürünlerin birim fiyatlarını karşılaştırma, • Farklı para birimlerini birbirine çevirme, • Farklı sayıda kişiler için hazırlanacak yemek için, kullanılması gereken malzeme miktarı, • Araç kullanımı ile yakıt tüketimi arasındaki ilişkileri inceleme, • Dakikaya/pakete bağlı telefon ücretleri gibi durumlar.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  <w:r>
              <w:t>Bilinçli Tüketici Aritmetiği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  <w:r>
              <w:t>Bilinçli Tüketici Aritmetiği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  <w:r>
              <w:t>ç)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a) Veri toplama, düzenleme, temsil etme ve yorumlama aşamalarına yer verilir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b) Bir veri grubunu temsil edecek en uygun grafik çeşidi üzerinde durulur. Farklı grafik çeşitlerinin kullanımıyla ilgili uygulamalar yaptırılır.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c) Problemler seçilirken toplumsal duyarlılığı geliştirebilecek çevre bilinci, okuma alışkanlıkları gibi konulara da yer verilir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a) Bir nesnenin belli bir oranda büyütülmüş ya da küçültülmüş çizimini kullanarak, mesafesi, çevre uzunluğu, alanı ve hacmi buldurulur.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b) Bir nesnenin belli bir oranda büyütülmüş veya küçültülmüş çizimleri, ölçekli kâğıt üzerine çizdirilir.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c) Bilgi ve iletişim teknolojilerinden yararlanılır.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a) Gerçek hayat problemlerine yer verilir.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b) Bilgi ve iletişim teknolojilerinden yararlanılır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