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606"/>
        <w:gridCol w:w="1229"/>
        <w:gridCol w:w="4255"/>
        <w:gridCol w:w="370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Telling people what we know</w:t>
            </w:r>
          </w:p>
        </w:tc>
        <w:tc>
          <w:tcPr>
            <w:vAlign w:val="center"/>
          </w:tcPr>
          <w:p>
            <w:pPr>
              <w:rPr>
                <w:b/>
              </w:rPr>
            </w:pPr>
            <w:r>
              <w:t>Unit 1:Words</w:t>
            </w:r>
          </w:p>
        </w:tc>
        <w:tc>
          <w:tcPr>
            <w:vAlign w:val="center"/>
          </w:tcPr>
          <w:p>
            <w:pPr>
              <w:rPr>
                <w:b/>
              </w:rPr>
            </w:pPr>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pPr>
              <w:rPr>
                <w:b/>
              </w:rPr>
            </w:pPr>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Telling people what we know</w:t>
            </w:r>
          </w:p>
        </w:tc>
        <w:tc>
          <w:tcPr>
            <w:vAlign w:val="center"/>
          </w:tcPr>
          <w:p>
            <w:r>
              <w:t>Unit 1:Words</w:t>
            </w:r>
          </w:p>
        </w:tc>
        <w:tc>
          <w:tcPr>
            <w:vAlign w:val="center"/>
          </w:tcPr>
          <w:p>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Telling people what we know</w:t>
            </w:r>
          </w:p>
        </w:tc>
        <w:tc>
          <w:tcPr>
            <w:vAlign w:val="center"/>
          </w:tcPr>
          <w:p>
            <w:r>
              <w:t>Unit 1:Words</w:t>
            </w:r>
          </w:p>
        </w:tc>
        <w:tc>
          <w:tcPr>
            <w:vAlign w:val="center"/>
          </w:tcPr>
          <w:p>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Asking someone’s name Greeting and meeting people</w:t>
            </w:r>
            <w:r>
              <w:t>Asking someone’s name Greeting and meeting people</w:t>
            </w:r>
          </w:p>
        </w:tc>
        <w:tc>
          <w:tcPr>
            <w:vAlign w:val="center"/>
          </w:tcPr>
          <w:p>
            <w:r>
              <w:t>Unit 2: Friends</w:t>
            </w:r>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Expressing abilities Expressing likes and dislikes Making simple inquiries Consolidation</w:t>
            </w:r>
          </w:p>
        </w:tc>
        <w:tc>
          <w:tcPr>
            <w:vAlign w:val="center"/>
          </w:tcPr>
          <w:p>
            <w:r>
              <w:t>Unit 10:Animals Consolidation</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 Consolidation</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 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