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035"/>
        <w:gridCol w:w="1096"/>
        <w:gridCol w:w="4034"/>
        <w:gridCol w:w="36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pPr>
              <w:rPr>
                <w:b/>
              </w:rPr>
            </w:pPr>
            <w:r>
              <w:t>THEME 1: SCHOOL LIFE</w:t>
            </w:r>
          </w:p>
        </w:tc>
        <w:tc>
          <w:tcPr>
            <w:vAlign w:val="center"/>
          </w:tcPr>
          <w:p>
            <w:pPr>
              <w:rPr>
                <w:b/>
              </w:rPr>
            </w:pPr>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pPr>
              <w:rPr>
                <w:b/>
              </w:rPr>
            </w:pPr>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