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87"/>
        <w:gridCol w:w="1384"/>
        <w:gridCol w:w="2887"/>
        <w:gridCol w:w="43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THEME 1: STUDYING ABROAD</w:t>
            </w:r>
          </w:p>
        </w:tc>
        <w:tc>
          <w:tcPr>
            <w:vAlign w:val="center"/>
          </w:tcPr>
          <w:p>
            <w:pPr>
              <w:rPr>
                <w:b/>
              </w:rPr>
            </w:pPr>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