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3775"/>
        <w:gridCol w:w="1658"/>
        <w:gridCol w:w="2230"/>
        <w:gridCol w:w="31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Platon ( Eflatun ) ve Akademisi Aristo ve Mantık Prensipleri Öklid ve Elementler-Öklid Geometrisi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Pergeli Apollanius Arşimet ve Tüketme Yöntemi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Heron ve Üçgen Alanı Diophantus ve Denklemler Hypatia-İlk Kadın Matematikçi 1.YAZILI YOKLAMA</w:t>
            </w:r>
            <w:r>
              <w:t>Heron ve Üçgen Alanı Diophantus ve Denklemler Hypatia-İlk Kadın Matematikçi 1.YAZILI YOKLAMA</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Descartes ve Kartezyen Koordinatlar ile Analitik Geometri Newton ve Laibniz'in Kalkülüsü ( Newton-Leibniz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