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096"/>
        <w:gridCol w:w="3715"/>
        <w:gridCol w:w="3944"/>
        <w:gridCol w:w="20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SAMPLE USAGE</w:t>
            </w:r>
          </w:p>
        </w:tc>
        <w:tc>
          <w:tcPr>
            <w:vAlign w:val="center"/>
          </w:tcPr>
          <w:p>
            <w:pPr>
              <w:rPr>
                <w:b/>
              </w:rPr>
            </w:pPr>
            <w:r>
              <w:rPr>
                <w:b/>
              </w:rPr>
              <w:t>LANGUAGE TASKS AND STUDY SKILLS</w:t>
            </w:r>
          </w:p>
        </w:tc>
        <w:tc>
          <w:tcPr>
            <w:vAlign w:val="center"/>
          </w:tcPr>
          <w:p>
            <w:pPr>
              <w:rPr>
                <w:b/>
              </w:rPr>
            </w:pPr>
            <w:r>
              <w:rPr>
                <w:b/>
              </w:rPr>
              <w:t>SUGGESTED MATERIALS &amp;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