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94"/>
        <w:gridCol w:w="1397"/>
        <w:gridCol w:w="610"/>
        <w:gridCol w:w="5485"/>
        <w:gridCol w:w="397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DENKLEM VE EŞİTSİZLİKLER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Üslü ve köklü ifadeler içeren denklemler çözer.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Üslü ve Köklü İfadeler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  <w:r>
              <w:t>DENKLEM VE EŞİTSİZLİKLER</w:t>
            </w:r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  <w:r>
              <w:t>1. Üslü ve köklü ifadeler içeren denklemler çözer.</w:t>
            </w:r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 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