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4084"/>
        <w:gridCol w:w="2187"/>
        <w:gridCol w:w="31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5 SAAT</w:t>
            </w:r>
          </w:p>
        </w:tc>
        <w:tc>
          <w:tcPr>
            <w:vAlign w:val="center"/>
          </w:tcPr>
          <w:p>
            <w:pPr>
              <w:rPr>
                <w:b/>
              </w:rPr>
            </w:pPr>
            <w:r>
              <w:t>THEME 1: STUDYING ABROAD</w:t>
            </w:r>
          </w:p>
        </w:tc>
        <w:tc>
          <w:tcPr>
            <w:vAlign w:val="center"/>
          </w:tcPr>
          <w:p>
            <w:pPr>
              <w:rPr>
                <w:b/>
              </w:rPr>
            </w:pPr>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5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5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5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5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5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5 SAAT</w:t>
            </w:r>
          </w:p>
        </w:tc>
        <w:tc>
          <w:tcPr>
            <w:vAlign w:val="center"/>
          </w:tcPr>
          <w:p>
            <w:r>
              <w:t>THEME 2: MY ENVIRONMENT</w:t>
            </w:r>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5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5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5 SAAT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5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5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5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5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5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5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5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5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5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5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5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5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5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5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5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5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5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5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5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5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