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62"/>
        <w:gridCol w:w="9082"/>
        <w:gridCol w:w="203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School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School Life</w:t>
            </w:r>
          </w:p>
        </w:tc>
        <w:tc>
          <w:tcPr>
            <w:vAlign w:val="center"/>
          </w:tcPr>
          <w:p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School Life</w:t>
            </w:r>
          </w:p>
        </w:tc>
        <w:tc>
          <w:tcPr>
            <w:vAlign w:val="center"/>
          </w:tcPr>
          <w:p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Shopping</w:t>
            </w:r>
          </w:p>
        </w:tc>
        <w:tc>
          <w:tcPr>
            <w:vAlign w:val="center"/>
          </w:tcPr>
          <w:p>
            <w:r>
              <w:t>1. Making comparisons 2. Talking about different kinds of clothing and shopping 3. Describing objects, and people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