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TEMEL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10"/>
        <w:gridCol w:w="1278"/>
        <w:gridCol w:w="567"/>
        <w:gridCol w:w="1786"/>
        <w:gridCol w:w="2450"/>
        <w:gridCol w:w="630"/>
        <w:gridCol w:w="483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ÖĞRENMA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TD.12.1. Denklem ve Eşitsizlikler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Üslü ve Köklü İfadeler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Yüzde hesaplamalarında aşağıda verilen bağlamlardan yararlanılabilir: • Zamanında ödemeleri yapılmadığında gecikme bedeli ödenmesi gereken durumlar, • Bir malın alış fiyatı üzerine KDV, ÖTV ve kâr eklenmesi; belli bir satış fiyatı üzerinden indirim yapılması gibi gerçek hayat durumları, • Vade farkı, enflasyon gibi bireyin günlük yaşantısında sıklıkla karşılaştığı kavramlar, • Yatırımların getirilerine yönelik veriler toplatılması ve yatırımlar içerisinde en iyi olanın belirlenmesi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b) Oran ve orantı kavramlarını içeren problemler oluşturulurken aşağıda verilen bağlamlardan yararlanılabilir: • Farklı ürünlerin birim fiyatlarını karşılaştırma, • Farklı para birimlerini birbirine çevirme, • Farklı sayıda kişiler için hazırlanacak yemek için, kullanılması gereken malzeme miktarı, • Araç kullanımı ile yakıt tüketimi arasındaki ilişkileri inceleme, • Dakikaya/pakete bağlı telefon ücretleri gibi durumlar.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c) Tutumlu olma hakkında farkındalık oluşturacak örneklere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c) Tutumlu olma hakkında farkındalık oluşturacak örneklere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ç) Bilgi ve iletişim teknolojilerinden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ç) Bilgi ve iletişim teknolojilerinden yararlanılır.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>
            <w:r>
              <w:t>a) Veri toplama, düzenleme, temsil etme ve yorumlama aşamalarına yer verilir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>
            <w:r>
              <w:t>b) Bir veri grubunu temsil edecek en uygun grafik çeşidi üzerinde durulur. Farklı grafik çeşitlerinin kullanımıyla ilgili uygulamalar yaptırılır.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>
            <w:r>
              <w:t>c) Problemler seçilirken toplumsal duyarlılığı geliştirebilecek çevre bilinci, okuma alışkanlıkları gibi konulara da yer verilir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>
            <w:r>
              <w:t>ç) Bilgi ve iletişim teknolojilerinden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a) Bir nesnenin belli bir oranda büyütülmüş ya da küçültülmüş çizimini kullanarak, mesafesi, çevre uzunluğu, alanı ve hacmi buldurulur.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b) Bir nesnenin belli bir oranda büyütülmüş veya küçültülmüş çizimleri, ölçekli kâğıt üzerine çizdirilir.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c) Bilgi ve iletişim teknolojilerinden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a)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b) Bilgi ve iletişim teknolojilerinden yararlanılır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