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1"/>
        <w:gridCol w:w="1568"/>
        <w:gridCol w:w="825"/>
        <w:gridCol w:w="5282"/>
        <w:gridCol w:w="381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Sayı kümelerini birbiriyle ilişkilendirir.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2. Doğal sayıların çözümlemesi ile ilgili problemler çözer.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2. Doğal sayıların çözümlemesi ile ilgili problemler çözer.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  <w:r>
              <w:t>SAYILAR</w:t>
            </w:r>
          </w:p>
        </w:tc>
        <w:tc>
          <w:tcPr>
            <w:vAlign w:val="center"/>
          </w:tcPr>
          <w:p>
            <w:r>
              <w:t>2. Bir tamsayının pozitif tamsayı bölenlerinin sayısını bulur.</w:t>
            </w:r>
            <w:r>
              <w:t>2. Bir tamsayının pozitif tamsayı bölenlerinin sayısını bulur.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  <w:r>
              <w:t>SAYILAR</w:t>
            </w:r>
          </w:p>
        </w:tc>
        <w:tc>
          <w:tcPr>
            <w:vAlign w:val="center"/>
          </w:tcPr>
          <w:p>
            <w:r>
              <w:t>2. Bir tamsayının pozitif tamsayı bölenlerinin sayısını bulur.</w:t>
            </w:r>
            <w:r>
              <w:t>2. Bir tamsayının pozitif tamsayı bölenlerinin sayısını bulur.</w:t>
            </w:r>
          </w:p>
        </w:tc>
        <w:tc>
          <w:tcPr>
            <w:vAlign w:val="center"/>
          </w:tcPr>
          <w:p>
            <w:r>
              <w:t>Bölünebilme Atatürk’ün Kişiliği</w:t>
            </w:r>
            <w:r>
              <w:t>Bölünebilme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Seyahatlerde mümkün olan alternatifleri karşılaştırır.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Seyahatlerde mümkün olan alternatifleri karşılaştırır.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Çemberin temel elemanlarını tanır.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