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29"/>
        <w:gridCol w:w="3273"/>
        <w:gridCol w:w="3095"/>
        <w:gridCol w:w="1010"/>
        <w:gridCol w:w="22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HK.6.1.1. Bilmece ve bulmacaları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HK.6.1.2. Öğrendiği bilmece ve bulmacaları sorar.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HK.6.1.3. Atasözü ve deyimleri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HK.6.1.4. Atasözü ve deyimlerin kültürel süreklilik içindeki yeri ve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HK.6.1.6 Öğrendiği bilmece, bulmaca, atasözü ve deyimleri sosyal çevresi ile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HK.6.2.2. Yöresine ait halk müziği eserlerini tanır.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HK.6.2.4. Halk müziğinin oluşumunda aşıklık geleneğinin önemini kavrar.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HK.6.2.6. Halk oyunlarını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HK.6.2.8. Halk oyunlarında kullanılan çalgıları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HK.6.3.2. Kutlamaların, şenliklerin sosyal ve kültürel işlevini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HK.6.4.2. Geleneksel tarım ve hayvancılığın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HK.6.4.4.Halk takviminin halk yaşamına etkisini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 El Sanatları Geleneği</w:t>
            </w:r>
          </w:p>
        </w:tc>
        <w:tc>
          <w:tcPr>
            <w:vAlign w:val="center"/>
          </w:tcPr>
          <w:p>
            <w:r>
              <w:t>HK.6.4.4.Halk takviminin halk yaşamına etkisini fark eder. 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 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 HK.6.6.2.Kültürel mirası benimseme ve koruma konusunda duyarlı olur. 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