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40"/>
        <w:gridCol w:w="5325"/>
        <w:gridCol w:w="2447"/>
        <w:gridCol w:w="10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TOPICS</w:t>
            </w:r>
          </w:p>
        </w:tc>
        <w:tc>
          <w:tcPr>
            <w:vAlign w:val="center"/>
          </w:tcPr>
          <w:p>
            <w:pPr>
              <w:rPr>
                <w:b/>
              </w:rPr>
            </w:pPr>
            <w:r>
              <w:rPr>
                <w:b/>
              </w:rPr>
              <w:t>APPROACHES TO LEARNING</w:t>
            </w:r>
          </w:p>
        </w:tc>
        <w:tc>
          <w:tcPr>
            <w:vAlign w:val="center"/>
          </w:tcPr>
          <w:p>
            <w:pPr>
              <w:rPr>
                <w:b/>
              </w:rPr>
            </w:pPr>
            <w:r>
              <w:rPr>
                <w:b/>
              </w:rPr>
              <w:t>MATERIALS</w:t>
            </w:r>
          </w:p>
        </w:tc>
        <w:tc>
          <w:tcPr>
            <w:vAlign w:val="center"/>
          </w:tcPr>
          <w:p>
            <w:pPr>
              <w:rPr>
                <w:b/>
              </w:rPr>
            </w:pPr>
            <w:r>
              <w:rPr>
                <w:b/>
              </w:rPr>
              <w:t>OBJECTIVES AND ATTITUDES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Exchanging personal information in both formal and informal language Taking part in a conversation in everyday life situations</w:t>
            </w:r>
          </w:p>
        </w:tc>
        <w:tc>
          <w:tcPr>
            <w:vAlign w:val="center"/>
          </w:tcPr>
          <w:p>
            <w:pPr>
              <w:rPr>
                <w:b/>
              </w:rPr>
            </w:pPr>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UNIT 1 School Life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 (23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3 Legendary Figure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Describing habits and routines in the past Making oral presentations on a specific topic</w:t>
            </w:r>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r>
              <w:t>Unit 4 Traditions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5 Travel</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