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201"/>
        <w:gridCol w:w="1394"/>
        <w:gridCol w:w="706"/>
        <w:gridCol w:w="8236"/>
        <w:gridCol w:w="397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(ÖSLA)Toplumsal hayatı düzenleyen kurallara uygun davranır.(53)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Kişisel özgürlükler ile toplumsal yaşamı düzenleyen kurallar arasında bağlantı kurar.(52)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Sahip olduğu haklarını belirtir.(54)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(ÖSLA)Kitle iletişim araçlarında sunulan yanlış mesaj ve modellerin bireysel ve toplumsal değerlere uygunluğunu analiz eder. (55)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Önemi artan ve azalan meslekler hakkında bilgi edinir.(90)</w:t>
            </w:r>
            <w:r>
              <w:t>(ÖSLM) Önemi artan ve azalan meslekler hakkında bilgi edinir.(90)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Kısa ve uzun dönemde mesleki hedeflerini belirler.(91)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(ÖSLE)Yükseköğretim kurumlarına geçiş için akademik başarısını artırıcı çalışma planı yapar. (14)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(ÖSLA)Kendi davranışlarını doğa ve çevreyi korumaya karşı duyarlılık açılarından değerlendirir.(56)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(ÖSLİ)Günlük hayatında kullandığı sorun çözme yollarını etkililiği açısından değerlendirir. (46)**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sorun çözme basamaklarını kullanır(47)**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Hobilerin insan hayatındaki önemini belirtir.(26)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(ÖSLİ)Sevginin insan hayatındaki önemini belirtir. (48)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Üretkenliğin toplum açısından önemini fark eder(92)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Ekonomik ve toplumsal ihtiyaçların meslek seçimine etkilerini açıklar.(93)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Geleceğe ilişkin amaçlarını toplumun sosyal ve ekonomik kaynaklarını dikkate alarak belirler.(15)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(ÖSLE)Yükseköğretim kurumlarına geçiş için akademik başarısını artırıcı çalışma planının etkililiğini değerlendirir.(16)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(ÖSLG)Stresin nedenlerini ve belirtilerini açıklar.(66)**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 durumlarında kullandığı tepkileri etkililiği açısından değerlendirir.(67)**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(ÖSLG)Stresle başa çıkmada uygun yöntemler kullanır.(68)**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Toplumu ve dünyayı ilgilendiren ortak sağlık sorunlarını belirtir.(69)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Toplumu ve dünyayı ilgilendiren ortak sağlık sorunlarından korunma yollarını ifade eder.(70)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Toplum için yapılan gönüllü çalışmalara (57)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Yükseköğretim kurumlarına geçiş ile ilgili bilgi edinir.(17)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(ÖSLM)Yükseköğrenim programları ve koşulları hakkında bilgi edinir.(94)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Mesleki değer, ilgi, yetenek ve akademik başarısına göre yükseköğretim programını seçmenin öenmini fark eder.(95)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Ortaöğretim sonrasında işe ve mesleğe hazırlayan kurum ve mesleki kurslar hakkında bilgi edinir.(96)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Geleceğe yönelik belirlediği amaçların ulaşılabilirliğini değerlendirir.(18)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Staj yapabileceği yerleri belirler. (97)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