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03"/>
        <w:gridCol w:w="3488"/>
        <w:gridCol w:w="4635"/>
        <w:gridCol w:w="12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HK.5.1.1. Tekerlemeleri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HK.5.1.1. Tekerlemeleri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HK.5.2.1. Geleneksel çocuk oyun ve oyuncaklarını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 TOPLUMSAL UYGULAMALAR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 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 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 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 HK.5.4.4. Sürdürülebilir ve sağlıklı beslenmede geleneksel mutfağın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BİLGİSİ. EL SANATLARI GELENEĞİ</w:t>
            </w:r>
          </w:p>
        </w:tc>
        <w:tc>
          <w:tcPr>
            <w:vAlign w:val="center"/>
          </w:tcPr>
          <w:p>
            <w:r>
              <w:t>HK.5.4.4. Sürdürülebilir ve sağlıklı beslenmede geleneksel mutfağın önemini kavrar. 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 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HK.5.5.4. Geleneksel günlük giyim kuşam ile törensel giyim kuşamı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 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